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50" w:rsidRPr="003C4A7A" w:rsidRDefault="00E464FF" w:rsidP="00E464FF">
      <w:pPr>
        <w:rPr>
          <w:rFonts w:ascii="Calibri" w:hAnsi="Calibri"/>
          <w:color w:val="000000"/>
          <w:sz w:val="22"/>
          <w:szCs w:val="22"/>
        </w:rPr>
      </w:pPr>
      <w:bookmarkStart w:id="0" w:name="_GoBack"/>
      <w:bookmarkEnd w:id="0"/>
      <w:r>
        <w:rPr>
          <w:b/>
        </w:rPr>
        <w:t>SECTION</w:t>
      </w:r>
      <w:r w:rsidR="004E4250">
        <w:rPr>
          <w:b/>
        </w:rPr>
        <w:t xml:space="preserve"> </w:t>
      </w:r>
      <w:r>
        <w:rPr>
          <w:b/>
        </w:rPr>
        <w:t>0100</w:t>
      </w:r>
      <w:r w:rsidR="003C4A7A">
        <w:rPr>
          <w:b/>
        </w:rPr>
        <w:t>09X</w:t>
      </w:r>
      <w:r w:rsidR="003C4A7A">
        <w:rPr>
          <w:rFonts w:ascii="Calibri" w:hAnsi="Calibri"/>
          <w:color w:val="000000"/>
          <w:sz w:val="22"/>
          <w:szCs w:val="22"/>
        </w:rPr>
        <w:t xml:space="preserve"> </w:t>
      </w:r>
      <w:r w:rsidR="004E4250">
        <w:rPr>
          <w:b/>
        </w:rPr>
        <w:t>MANAGEMENT OF RADIOACTIVE WASTES</w:t>
      </w:r>
    </w:p>
    <w:p w:rsidR="003C4A7A" w:rsidRDefault="003C4A7A" w:rsidP="003C4A7A">
      <w:pPr>
        <w:autoSpaceDE w:val="0"/>
        <w:autoSpaceDN w:val="0"/>
        <w:adjustRightInd w:val="0"/>
        <w:rPr>
          <w:b/>
          <w:bCs/>
        </w:rPr>
      </w:pPr>
    </w:p>
    <w:p w:rsidR="003C4A7A" w:rsidRDefault="003C4A7A" w:rsidP="003C4A7A">
      <w:pPr>
        <w:autoSpaceDE w:val="0"/>
        <w:autoSpaceDN w:val="0"/>
        <w:adjustRightInd w:val="0"/>
        <w:rPr>
          <w:b/>
          <w:bCs/>
        </w:rPr>
      </w:pPr>
    </w:p>
    <w:p w:rsidR="003C4A7A" w:rsidRDefault="003C4A7A" w:rsidP="003C4A7A">
      <w:pPr>
        <w:autoSpaceDE w:val="0"/>
        <w:autoSpaceDN w:val="0"/>
        <w:adjustRightInd w:val="0"/>
        <w:rPr>
          <w:b/>
          <w:bCs/>
        </w:rPr>
      </w:pPr>
      <w:r>
        <w:rPr>
          <w:b/>
          <w:bCs/>
        </w:rPr>
        <w:t>PART 1 - GENERAL</w:t>
      </w:r>
    </w:p>
    <w:p w:rsidR="004E4250" w:rsidRDefault="004E4250">
      <w:pPr>
        <w:autoSpaceDE w:val="0"/>
        <w:autoSpaceDN w:val="0"/>
        <w:adjustRightInd w:val="0"/>
        <w:jc w:val="center"/>
        <w:rPr>
          <w:b/>
          <w:bCs/>
        </w:rPr>
      </w:pPr>
    </w:p>
    <w:p w:rsidR="003C4A7A" w:rsidRPr="003C4A7A" w:rsidRDefault="003C4A7A" w:rsidP="003C4A7A">
      <w:pPr>
        <w:numPr>
          <w:ilvl w:val="1"/>
          <w:numId w:val="6"/>
        </w:numPr>
        <w:autoSpaceDE w:val="0"/>
        <w:autoSpaceDN w:val="0"/>
        <w:adjustRightInd w:val="0"/>
        <w:rPr>
          <w:b/>
        </w:rPr>
      </w:pPr>
      <w:r>
        <w:rPr>
          <w:b/>
        </w:rPr>
        <w:t>DESCRIPTION</w:t>
      </w:r>
      <w:r>
        <w:t xml:space="preserve">  </w:t>
      </w:r>
    </w:p>
    <w:p w:rsidR="004E4250" w:rsidRPr="003C4A7A" w:rsidRDefault="004E4250" w:rsidP="00E464FF">
      <w:pPr>
        <w:autoSpaceDE w:val="0"/>
        <w:autoSpaceDN w:val="0"/>
        <w:adjustRightInd w:val="0"/>
        <w:ind w:left="720"/>
        <w:jc w:val="both"/>
        <w:rPr>
          <w:b/>
        </w:rPr>
      </w:pPr>
      <w:r>
        <w:t>This item provides specifications for the identification, h</w:t>
      </w:r>
      <w:r w:rsidR="003C4A7A">
        <w:t xml:space="preserve">andling, storage, transferring </w:t>
      </w:r>
      <w:r>
        <w:t xml:space="preserve">and disposal of common radioactive wastes generated at MAA properties as a result of this construction contract.  Common radioactive wastes generated during the construction of this project includes self-luminous exit signs that may contain radioactive gas, such as tritium or radium.   </w:t>
      </w:r>
    </w:p>
    <w:p w:rsidR="004E4250" w:rsidRDefault="004E4250" w:rsidP="00E464FF">
      <w:pPr>
        <w:ind w:left="720"/>
        <w:jc w:val="both"/>
      </w:pPr>
    </w:p>
    <w:p w:rsidR="004E4250" w:rsidRDefault="004E4250" w:rsidP="00E464FF">
      <w:pPr>
        <w:autoSpaceDE w:val="0"/>
        <w:autoSpaceDN w:val="0"/>
        <w:adjustRightInd w:val="0"/>
        <w:ind w:left="720"/>
        <w:jc w:val="both"/>
      </w:pPr>
      <w:r>
        <w:t>The contractor must manage the radioactive wastes generated under this contract per applicable federal and state regulations.  Federal regulations that govern tritium or radium-containing signs are found in the Nuclear Regulatory Commission regulations, 10 CFR 31.  Management of waste radioactive exit signs includes, but is not limited to, the identification, handling, transferring, and reporting of these signs.  The Contractor shall designate an employee to oversee the proper management of radioactive wastes generated under this contract.  All activities shall conform to the standards described in this specification and or as directed by the Engineer.</w:t>
      </w:r>
    </w:p>
    <w:p w:rsidR="004E4250" w:rsidRDefault="004E4250">
      <w:pPr>
        <w:pStyle w:val="Body"/>
        <w:jc w:val="both"/>
        <w:rPr>
          <w:rFonts w:ascii="Times New Roman" w:hAnsi="Times New Roman"/>
          <w:color w:val="auto"/>
          <w:szCs w:val="24"/>
        </w:rPr>
      </w:pPr>
    </w:p>
    <w:p w:rsidR="004E4250" w:rsidRDefault="00E464FF" w:rsidP="00E464FF">
      <w:pPr>
        <w:pStyle w:val="Body"/>
        <w:tabs>
          <w:tab w:val="left" w:pos="720"/>
        </w:tabs>
        <w:ind w:left="720" w:hanging="720"/>
        <w:jc w:val="both"/>
        <w:rPr>
          <w:rFonts w:ascii="Times New Roman" w:hAnsi="Times New Roman"/>
          <w:color w:val="auto"/>
          <w:szCs w:val="24"/>
        </w:rPr>
      </w:pPr>
      <w:r>
        <w:rPr>
          <w:rFonts w:ascii="Times New Roman" w:hAnsi="Times New Roman"/>
          <w:b/>
          <w:color w:val="auto"/>
          <w:szCs w:val="24"/>
        </w:rPr>
        <w:t xml:space="preserve">1.2  </w:t>
      </w:r>
      <w:r>
        <w:rPr>
          <w:rFonts w:ascii="Times New Roman" w:hAnsi="Times New Roman"/>
          <w:b/>
          <w:color w:val="auto"/>
          <w:szCs w:val="24"/>
        </w:rPr>
        <w:tab/>
      </w:r>
      <w:r w:rsidR="004E4250">
        <w:rPr>
          <w:rFonts w:ascii="Times New Roman" w:hAnsi="Times New Roman"/>
          <w:b/>
          <w:color w:val="auto"/>
          <w:szCs w:val="24"/>
        </w:rPr>
        <w:t>IDENTIFICATION</w:t>
      </w:r>
      <w:r w:rsidR="004E4250">
        <w:rPr>
          <w:rFonts w:ascii="Times New Roman" w:hAnsi="Times New Roman"/>
          <w:color w:val="auto"/>
          <w:szCs w:val="24"/>
        </w:rPr>
        <w:t xml:space="preserve">.  It is the responsibility of the Contractor to correctly identify the presence of radioactive material in all waste exit signs generated from the contractor’s project at MAA.  Exit signs which contain tritium usually have a permanent warning label which mentions the presence of tritium (H-3); displays the three bladed radiation warning symbol; and states “Caution-Radioactive Materials”.  The tritium or radium is housed within the sign in a small glass tube.  In some cases, labels may not be present on exit signs, but the signs may contain tritium, radium, or other radioactive material.  For these unmarked signs, the Contractor should have the waste exit signs analyzed for radiation levels.     </w:t>
      </w:r>
    </w:p>
    <w:p w:rsidR="004E4250" w:rsidRDefault="004E4250">
      <w:pPr>
        <w:pStyle w:val="Body"/>
        <w:jc w:val="both"/>
        <w:rPr>
          <w:rFonts w:ascii="Times New Roman" w:hAnsi="Times New Roman"/>
          <w:color w:val="auto"/>
          <w:szCs w:val="24"/>
        </w:rPr>
      </w:pPr>
    </w:p>
    <w:p w:rsidR="004E4250" w:rsidRDefault="00D77504" w:rsidP="00D77504">
      <w:pPr>
        <w:pStyle w:val="Body"/>
        <w:rPr>
          <w:rFonts w:ascii="Times New Roman" w:hAnsi="Times New Roman"/>
          <w:b/>
          <w:color w:val="auto"/>
          <w:szCs w:val="24"/>
        </w:rPr>
      </w:pPr>
      <w:r>
        <w:rPr>
          <w:rFonts w:ascii="Times New Roman" w:hAnsi="Times New Roman"/>
          <w:b/>
          <w:color w:val="auto"/>
          <w:szCs w:val="24"/>
        </w:rPr>
        <w:t>PART 2- PRODCUTS</w:t>
      </w:r>
    </w:p>
    <w:p w:rsidR="004E4250" w:rsidRDefault="004E4250">
      <w:pPr>
        <w:pStyle w:val="Body"/>
        <w:jc w:val="both"/>
        <w:rPr>
          <w:rFonts w:ascii="Times New Roman" w:hAnsi="Times New Roman"/>
          <w:color w:val="auto"/>
          <w:szCs w:val="24"/>
        </w:rPr>
      </w:pPr>
    </w:p>
    <w:p w:rsidR="004E4250" w:rsidRPr="00D77504" w:rsidRDefault="00D77504">
      <w:pPr>
        <w:pStyle w:val="Body"/>
        <w:tabs>
          <w:tab w:val="left" w:pos="1080"/>
        </w:tabs>
        <w:ind w:left="1080" w:hanging="1080"/>
        <w:jc w:val="both"/>
        <w:rPr>
          <w:rFonts w:ascii="Times New Roman" w:hAnsi="Times New Roman"/>
          <w:color w:val="auto"/>
          <w:szCs w:val="24"/>
        </w:rPr>
      </w:pPr>
      <w:r w:rsidRPr="00D77504">
        <w:rPr>
          <w:rFonts w:ascii="Times New Roman" w:hAnsi="Times New Roman"/>
          <w:color w:val="auto"/>
          <w:szCs w:val="24"/>
        </w:rPr>
        <w:t xml:space="preserve">Not Used. </w:t>
      </w:r>
    </w:p>
    <w:p w:rsidR="004E4250" w:rsidRDefault="004E4250">
      <w:pPr>
        <w:pStyle w:val="Body"/>
        <w:jc w:val="both"/>
        <w:rPr>
          <w:rFonts w:ascii="Times New Roman" w:hAnsi="Times New Roman"/>
          <w:color w:val="auto"/>
          <w:szCs w:val="24"/>
        </w:rPr>
      </w:pPr>
    </w:p>
    <w:p w:rsidR="00D77504" w:rsidRDefault="00D77504">
      <w:pPr>
        <w:pStyle w:val="Body"/>
        <w:jc w:val="center"/>
        <w:rPr>
          <w:rFonts w:ascii="Times New Roman" w:hAnsi="Times New Roman"/>
          <w:b/>
          <w:color w:val="auto"/>
          <w:szCs w:val="24"/>
        </w:rPr>
      </w:pPr>
    </w:p>
    <w:p w:rsidR="004E4250" w:rsidRDefault="00D77504" w:rsidP="00D77504">
      <w:pPr>
        <w:pStyle w:val="Body"/>
        <w:rPr>
          <w:rFonts w:ascii="Times New Roman" w:hAnsi="Times New Roman"/>
          <w:b/>
          <w:color w:val="auto"/>
          <w:szCs w:val="24"/>
        </w:rPr>
      </w:pPr>
      <w:r>
        <w:rPr>
          <w:rFonts w:ascii="Times New Roman" w:hAnsi="Times New Roman"/>
          <w:b/>
          <w:color w:val="auto"/>
          <w:szCs w:val="24"/>
        </w:rPr>
        <w:t xml:space="preserve">PART 3 - </w:t>
      </w:r>
      <w:r w:rsidR="004E4250" w:rsidRPr="009E095D">
        <w:rPr>
          <w:rFonts w:ascii="Times New Roman" w:hAnsi="Times New Roman"/>
          <w:b/>
          <w:color w:val="auto"/>
          <w:szCs w:val="24"/>
        </w:rPr>
        <w:t>CONSTRUCTION METHODS</w:t>
      </w:r>
    </w:p>
    <w:p w:rsidR="004E4250" w:rsidRDefault="004E4250">
      <w:pPr>
        <w:pStyle w:val="Body"/>
        <w:jc w:val="both"/>
        <w:rPr>
          <w:rFonts w:ascii="Times New Roman" w:hAnsi="Times New Roman"/>
          <w:color w:val="auto"/>
          <w:szCs w:val="24"/>
        </w:rPr>
      </w:pPr>
    </w:p>
    <w:p w:rsidR="00D77504" w:rsidRDefault="00D77504" w:rsidP="00C80D2C">
      <w:pPr>
        <w:pStyle w:val="Body"/>
        <w:tabs>
          <w:tab w:val="left" w:pos="1080"/>
        </w:tabs>
        <w:ind w:left="1080" w:hanging="1080"/>
        <w:rPr>
          <w:rFonts w:ascii="Times New Roman" w:hAnsi="Times New Roman"/>
          <w:color w:val="auto"/>
          <w:szCs w:val="24"/>
        </w:rPr>
      </w:pPr>
      <w:r>
        <w:rPr>
          <w:rFonts w:ascii="Times New Roman" w:hAnsi="Times New Roman"/>
          <w:b/>
          <w:color w:val="auto"/>
          <w:szCs w:val="24"/>
        </w:rPr>
        <w:t>3.1</w:t>
      </w:r>
      <w:r w:rsidR="004E4250">
        <w:rPr>
          <w:rFonts w:ascii="Times New Roman" w:hAnsi="Times New Roman"/>
          <w:b/>
          <w:color w:val="auto"/>
          <w:szCs w:val="24"/>
        </w:rPr>
        <w:t xml:space="preserve"> </w:t>
      </w:r>
      <w:r w:rsidR="004E4250">
        <w:rPr>
          <w:rFonts w:ascii="Times New Roman" w:hAnsi="Times New Roman"/>
          <w:b/>
          <w:color w:val="auto"/>
          <w:szCs w:val="24"/>
        </w:rPr>
        <w:tab/>
        <w:t>HANDLING</w:t>
      </w:r>
    </w:p>
    <w:p w:rsidR="004E4250" w:rsidRDefault="00D77504" w:rsidP="00E464FF">
      <w:pPr>
        <w:pStyle w:val="Body"/>
        <w:tabs>
          <w:tab w:val="left" w:pos="1080"/>
        </w:tabs>
        <w:ind w:left="1080" w:hanging="1080"/>
        <w:jc w:val="both"/>
        <w:rPr>
          <w:rFonts w:ascii="Times New Roman" w:hAnsi="Times New Roman"/>
          <w:color w:val="auto"/>
          <w:szCs w:val="24"/>
        </w:rPr>
      </w:pPr>
      <w:r>
        <w:rPr>
          <w:rFonts w:ascii="Times New Roman" w:hAnsi="Times New Roman"/>
          <w:color w:val="auto"/>
          <w:szCs w:val="24"/>
        </w:rPr>
        <w:tab/>
      </w:r>
      <w:r w:rsidR="004E4250">
        <w:rPr>
          <w:rFonts w:ascii="Times New Roman" w:hAnsi="Times New Roman"/>
          <w:color w:val="auto"/>
          <w:szCs w:val="24"/>
        </w:rPr>
        <w:t xml:space="preserve">The Contractor shall handle radioactive waste exit signs in a manner that ensures that the radioactive waste is not released.  The Contractor shall use containers to store the waste and/or store the waste in areas which reduce the chances of release.  </w:t>
      </w:r>
    </w:p>
    <w:p w:rsidR="004E4250" w:rsidRDefault="004E4250" w:rsidP="00E464FF">
      <w:pPr>
        <w:jc w:val="both"/>
      </w:pPr>
    </w:p>
    <w:p w:rsidR="004E4250" w:rsidRDefault="004E4250" w:rsidP="00E464FF">
      <w:pPr>
        <w:pStyle w:val="Body"/>
        <w:ind w:left="1080"/>
        <w:jc w:val="both"/>
        <w:rPr>
          <w:rFonts w:ascii="Times New Roman" w:hAnsi="Times New Roman"/>
          <w:color w:val="auto"/>
          <w:szCs w:val="24"/>
        </w:rPr>
      </w:pPr>
      <w:r>
        <w:rPr>
          <w:rFonts w:ascii="Times New Roman" w:hAnsi="Times New Roman"/>
          <w:color w:val="auto"/>
          <w:szCs w:val="24"/>
        </w:rPr>
        <w:t>General container guidelines are as follows:</w:t>
      </w:r>
    </w:p>
    <w:p w:rsidR="004E4250" w:rsidRDefault="004E4250" w:rsidP="00E464FF">
      <w:pPr>
        <w:jc w:val="both"/>
      </w:pPr>
    </w:p>
    <w:p w:rsidR="004E4250" w:rsidRDefault="004E4250" w:rsidP="00E464FF">
      <w:pPr>
        <w:numPr>
          <w:ilvl w:val="0"/>
          <w:numId w:val="1"/>
        </w:numPr>
        <w:tabs>
          <w:tab w:val="left" w:pos="1800"/>
        </w:tabs>
        <w:ind w:left="1800"/>
        <w:jc w:val="both"/>
      </w:pPr>
      <w:r>
        <w:t>The container must be closed;</w:t>
      </w:r>
    </w:p>
    <w:p w:rsidR="004E4250" w:rsidRDefault="004E4250" w:rsidP="00E464FF">
      <w:pPr>
        <w:numPr>
          <w:ilvl w:val="0"/>
          <w:numId w:val="1"/>
        </w:numPr>
        <w:tabs>
          <w:tab w:val="left" w:pos="1800"/>
        </w:tabs>
        <w:ind w:left="1800"/>
        <w:jc w:val="both"/>
      </w:pPr>
      <w:r>
        <w:lastRenderedPageBreak/>
        <w:t>The container must be structurally sound; and</w:t>
      </w:r>
    </w:p>
    <w:p w:rsidR="004E4250" w:rsidRDefault="004E4250" w:rsidP="00E464FF">
      <w:pPr>
        <w:numPr>
          <w:ilvl w:val="0"/>
          <w:numId w:val="1"/>
        </w:numPr>
        <w:tabs>
          <w:tab w:val="left" w:pos="1800"/>
        </w:tabs>
        <w:ind w:left="1800"/>
        <w:jc w:val="both"/>
      </w:pPr>
      <w:r>
        <w:t>The container must lack evidence of leakage, spillage, or damage that could cause a release under reasonably foreseeable conditions.</w:t>
      </w:r>
    </w:p>
    <w:p w:rsidR="004E4250" w:rsidRDefault="004E4250" w:rsidP="00E464FF">
      <w:pPr>
        <w:pStyle w:val="Body"/>
        <w:jc w:val="both"/>
        <w:rPr>
          <w:rFonts w:ascii="Times New Roman" w:hAnsi="Times New Roman"/>
          <w:szCs w:val="24"/>
        </w:rPr>
      </w:pPr>
      <w:r>
        <w:rPr>
          <w:rFonts w:ascii="Times New Roman" w:hAnsi="Times New Roman"/>
          <w:color w:val="auto"/>
          <w:szCs w:val="24"/>
        </w:rPr>
        <w:t xml:space="preserve">  </w:t>
      </w:r>
      <w:r w:rsidRPr="009E095D">
        <w:rPr>
          <w:rFonts w:ascii="Times New Roman" w:hAnsi="Times New Roman"/>
          <w:szCs w:val="24"/>
        </w:rPr>
        <w:t xml:space="preserve">  </w:t>
      </w:r>
    </w:p>
    <w:p w:rsidR="004E4250" w:rsidRDefault="004E4250" w:rsidP="00E464FF">
      <w:pPr>
        <w:ind w:left="1080"/>
        <w:jc w:val="both"/>
      </w:pPr>
      <w:r>
        <w:t xml:space="preserve">The Contractor shall designate and clearly identify a specific location for containers that contain radioactive exit signs.  The location should be away from areas where construction activities occur which could damage the container or sign, but easily accessible to staff.  </w:t>
      </w:r>
    </w:p>
    <w:p w:rsidR="004E4250" w:rsidRDefault="004E4250" w:rsidP="00C80D2C">
      <w:pPr>
        <w:ind w:left="1080"/>
      </w:pPr>
    </w:p>
    <w:p w:rsidR="00D77504" w:rsidRDefault="00D77504" w:rsidP="00C80D2C">
      <w:pPr>
        <w:tabs>
          <w:tab w:val="left" w:pos="1080"/>
        </w:tabs>
        <w:ind w:left="1080" w:hanging="1080"/>
        <w:rPr>
          <w:b/>
        </w:rPr>
      </w:pPr>
      <w:r>
        <w:rPr>
          <w:b/>
        </w:rPr>
        <w:t>3.2</w:t>
      </w:r>
      <w:r w:rsidR="004E4250">
        <w:rPr>
          <w:b/>
        </w:rPr>
        <w:t xml:space="preserve"> </w:t>
      </w:r>
      <w:r w:rsidR="004E4250">
        <w:rPr>
          <w:b/>
        </w:rPr>
        <w:tab/>
        <w:t>RESPONSE TO RELEAS</w:t>
      </w:r>
      <w:r>
        <w:rPr>
          <w:b/>
        </w:rPr>
        <w:t>E</w:t>
      </w:r>
    </w:p>
    <w:p w:rsidR="004E4250" w:rsidRDefault="00D77504" w:rsidP="00E464FF">
      <w:pPr>
        <w:tabs>
          <w:tab w:val="left" w:pos="1080"/>
        </w:tabs>
        <w:ind w:left="1080" w:hanging="1080"/>
        <w:jc w:val="both"/>
      </w:pPr>
      <w:r>
        <w:rPr>
          <w:b/>
        </w:rPr>
        <w:tab/>
      </w:r>
      <w:r w:rsidR="004E4250">
        <w:t>Should damage to a sign occur, the Contractor should not handle the sign, and evacuate personnel from the immediate area.  The contractor should prevent entry to the area and if possible ventilate the area to the outside.  The Contractor shall notify the Engineer and the Airport Operations Center (AOC) of the incident via telephone immediately and provide the following information:</w:t>
      </w:r>
    </w:p>
    <w:p w:rsidR="004E4250" w:rsidRDefault="004E4250" w:rsidP="00E464FF">
      <w:pPr>
        <w:pStyle w:val="Body"/>
        <w:jc w:val="both"/>
        <w:rPr>
          <w:rFonts w:ascii="Times New Roman" w:hAnsi="Times New Roman"/>
          <w:szCs w:val="24"/>
        </w:rPr>
      </w:pPr>
    </w:p>
    <w:p w:rsidR="004E4250" w:rsidRDefault="004E4250" w:rsidP="00E464FF">
      <w:pPr>
        <w:pStyle w:val="1stBullet"/>
        <w:tabs>
          <w:tab w:val="clear" w:pos="1512"/>
          <w:tab w:val="num" w:pos="-3780"/>
          <w:tab w:val="left" w:pos="1800"/>
        </w:tabs>
        <w:spacing w:after="100" w:afterAutospacing="1"/>
        <w:ind w:left="1800"/>
        <w:jc w:val="both"/>
      </w:pPr>
      <w:r>
        <w:t>Location and time of incident</w:t>
      </w:r>
    </w:p>
    <w:p w:rsidR="004E4250" w:rsidRDefault="004E4250" w:rsidP="00E464FF">
      <w:pPr>
        <w:pStyle w:val="1stBullet"/>
        <w:tabs>
          <w:tab w:val="clear" w:pos="1512"/>
          <w:tab w:val="num" w:pos="-3780"/>
          <w:tab w:val="left" w:pos="1800"/>
        </w:tabs>
        <w:spacing w:after="100" w:afterAutospacing="1"/>
        <w:ind w:left="1800"/>
        <w:jc w:val="both"/>
      </w:pPr>
      <w:r>
        <w:t>Name and/or type of material spilled or released</w:t>
      </w:r>
    </w:p>
    <w:p w:rsidR="004E4250" w:rsidRDefault="004E4250" w:rsidP="00E464FF">
      <w:pPr>
        <w:pStyle w:val="1stBullet"/>
        <w:tabs>
          <w:tab w:val="clear" w:pos="1512"/>
          <w:tab w:val="num" w:pos="-3780"/>
          <w:tab w:val="left" w:pos="1800"/>
        </w:tabs>
        <w:spacing w:after="100" w:afterAutospacing="1"/>
        <w:ind w:left="1800"/>
        <w:jc w:val="both"/>
      </w:pPr>
      <w:r>
        <w:t>Amount and size of container(s) from which spill or release occurred</w:t>
      </w:r>
    </w:p>
    <w:p w:rsidR="004E4250" w:rsidRDefault="004E4250" w:rsidP="00E464FF">
      <w:pPr>
        <w:pStyle w:val="1stBullet"/>
        <w:tabs>
          <w:tab w:val="clear" w:pos="1512"/>
          <w:tab w:val="num" w:pos="-3780"/>
          <w:tab w:val="left" w:pos="1800"/>
        </w:tabs>
        <w:spacing w:after="100" w:afterAutospacing="1"/>
        <w:ind w:left="1800"/>
        <w:jc w:val="both"/>
      </w:pPr>
      <w:r>
        <w:t>Dangerous properties of the material</w:t>
      </w:r>
    </w:p>
    <w:p w:rsidR="004E4250" w:rsidRDefault="004E4250" w:rsidP="00E464FF">
      <w:pPr>
        <w:pStyle w:val="1stBullet"/>
        <w:tabs>
          <w:tab w:val="clear" w:pos="1512"/>
          <w:tab w:val="num" w:pos="-3780"/>
          <w:tab w:val="left" w:pos="1800"/>
        </w:tabs>
        <w:spacing w:after="100" w:afterAutospacing="1"/>
        <w:ind w:left="1800"/>
        <w:jc w:val="both"/>
      </w:pPr>
      <w:r>
        <w:t>Identification of personnel involved</w:t>
      </w:r>
    </w:p>
    <w:p w:rsidR="004E4250" w:rsidRDefault="004E4250" w:rsidP="00E464FF">
      <w:pPr>
        <w:pStyle w:val="1stBullet"/>
        <w:tabs>
          <w:tab w:val="clear" w:pos="1512"/>
          <w:tab w:val="num" w:pos="-3780"/>
          <w:tab w:val="left" w:pos="1800"/>
        </w:tabs>
        <w:spacing w:after="100" w:afterAutospacing="1"/>
        <w:ind w:left="1800"/>
        <w:jc w:val="both"/>
      </w:pPr>
      <w:r>
        <w:t>Type of personal injuries, if any</w:t>
      </w:r>
    </w:p>
    <w:p w:rsidR="004E4250" w:rsidRDefault="004E4250" w:rsidP="00E464FF">
      <w:pPr>
        <w:pStyle w:val="Body"/>
        <w:ind w:left="1080"/>
        <w:jc w:val="both"/>
        <w:rPr>
          <w:rFonts w:ascii="Times New Roman" w:hAnsi="Times New Roman"/>
          <w:color w:val="auto"/>
          <w:szCs w:val="24"/>
        </w:rPr>
      </w:pPr>
      <w:r>
        <w:rPr>
          <w:rFonts w:ascii="Times New Roman" w:hAnsi="Times New Roman"/>
          <w:color w:val="auto"/>
          <w:szCs w:val="24"/>
        </w:rPr>
        <w:t>MAA will be responsible for notifying the Maryland Department of the Environment (MDE) of the release.  Contractor shall notify MAA’s Department of Environmental Compliance (DEC).</w:t>
      </w:r>
    </w:p>
    <w:p w:rsidR="004E4250" w:rsidRDefault="004E4250" w:rsidP="00C80D2C">
      <w:pPr>
        <w:pStyle w:val="Body"/>
        <w:rPr>
          <w:rFonts w:ascii="Times New Roman" w:hAnsi="Times New Roman"/>
          <w:color w:val="auto"/>
          <w:szCs w:val="24"/>
        </w:rPr>
      </w:pPr>
    </w:p>
    <w:p w:rsidR="00D77504" w:rsidRDefault="00D77504" w:rsidP="00C80D2C">
      <w:pPr>
        <w:pStyle w:val="Body"/>
        <w:tabs>
          <w:tab w:val="left" w:pos="1080"/>
        </w:tabs>
        <w:ind w:left="1080" w:hanging="1080"/>
        <w:rPr>
          <w:rFonts w:ascii="Times New Roman" w:hAnsi="Times New Roman"/>
          <w:b/>
          <w:color w:val="auto"/>
          <w:szCs w:val="24"/>
        </w:rPr>
      </w:pPr>
      <w:r>
        <w:rPr>
          <w:rFonts w:ascii="Times New Roman" w:hAnsi="Times New Roman"/>
          <w:b/>
          <w:color w:val="auto"/>
          <w:szCs w:val="24"/>
        </w:rPr>
        <w:t>3.3</w:t>
      </w:r>
      <w:r w:rsidR="004E4250">
        <w:rPr>
          <w:rFonts w:ascii="Times New Roman" w:hAnsi="Times New Roman"/>
          <w:b/>
          <w:color w:val="auto"/>
          <w:szCs w:val="24"/>
        </w:rPr>
        <w:t xml:space="preserve"> </w:t>
      </w:r>
      <w:r w:rsidR="004E4250">
        <w:rPr>
          <w:rFonts w:ascii="Times New Roman" w:hAnsi="Times New Roman"/>
          <w:b/>
          <w:color w:val="auto"/>
          <w:szCs w:val="24"/>
        </w:rPr>
        <w:tab/>
        <w:t>TRANSFERRING</w:t>
      </w:r>
    </w:p>
    <w:p w:rsidR="004E4250" w:rsidRDefault="00D77504" w:rsidP="00E464FF">
      <w:pPr>
        <w:pStyle w:val="Body"/>
        <w:tabs>
          <w:tab w:val="left" w:pos="1080"/>
        </w:tabs>
        <w:ind w:left="1080" w:hanging="1080"/>
        <w:jc w:val="both"/>
        <w:rPr>
          <w:rFonts w:ascii="Times New Roman" w:hAnsi="Times New Roman"/>
          <w:szCs w:val="24"/>
        </w:rPr>
      </w:pPr>
      <w:r>
        <w:rPr>
          <w:rFonts w:ascii="Times New Roman" w:hAnsi="Times New Roman"/>
          <w:b/>
          <w:color w:val="auto"/>
          <w:szCs w:val="24"/>
        </w:rPr>
        <w:tab/>
      </w:r>
      <w:r w:rsidR="004E4250">
        <w:rPr>
          <w:rFonts w:ascii="Times New Roman" w:hAnsi="Times New Roman"/>
          <w:color w:val="auto"/>
          <w:szCs w:val="24"/>
        </w:rPr>
        <w:t>Federal regulations allow exit signs to be reused in the same location if specified for re-use in the contract documents; however exit signs may not be resold or used in other locations.  When a radioactive waste exit sign is deemed “waste”, the contractor shall arrange to transfer the sign to a “specific licensee” for disposal, such as a manufacturer, distributor, licensed radioactive waste broker, or licensed low-level disposal facility.  In the majority of instances, the</w:t>
      </w:r>
      <w:r w:rsidR="004E4250">
        <w:rPr>
          <w:rFonts w:ascii="Times New Roman" w:hAnsi="Times New Roman"/>
          <w:szCs w:val="24"/>
        </w:rPr>
        <w:t xml:space="preserve"> tritium exit sign can be returned to the manufacturer. The address of the manufacturer usually can be found on the back of the tritium exit sign. The manufacturer can provide instructions on how to ship the tritium exit sign safely. The Contractor must transport or ensure the transport of radioactive waste to a disposal or recycling facility in a manner which meets all federal and state transportation guidelines for such material.  The Contractor may not accumulate wastes on MAA property longer than the federal or state guidelines permit, or as directed by the Engineer, or beyond the date of the end of the contract, whichever is shorter.  </w:t>
      </w:r>
    </w:p>
    <w:p w:rsidR="00D77504" w:rsidRDefault="00D77504" w:rsidP="00C80D2C">
      <w:pPr>
        <w:pStyle w:val="Body"/>
        <w:tabs>
          <w:tab w:val="left" w:pos="1080"/>
        </w:tabs>
        <w:ind w:left="1080" w:hanging="1080"/>
        <w:rPr>
          <w:rFonts w:ascii="Times New Roman" w:hAnsi="Times New Roman"/>
          <w:szCs w:val="24"/>
        </w:rPr>
      </w:pPr>
    </w:p>
    <w:p w:rsidR="00D77504" w:rsidRDefault="00D77504" w:rsidP="00C80D2C">
      <w:pPr>
        <w:pStyle w:val="Body"/>
        <w:tabs>
          <w:tab w:val="left" w:pos="1080"/>
        </w:tabs>
        <w:ind w:left="1080" w:hanging="1080"/>
        <w:rPr>
          <w:rFonts w:ascii="Times New Roman" w:hAnsi="Times New Roman"/>
          <w:color w:val="auto"/>
          <w:szCs w:val="24"/>
        </w:rPr>
      </w:pPr>
    </w:p>
    <w:p w:rsidR="004E4250" w:rsidRDefault="004E4250" w:rsidP="00C80D2C"/>
    <w:p w:rsidR="00D77504" w:rsidRDefault="00D77504" w:rsidP="00C80D2C">
      <w:pPr>
        <w:tabs>
          <w:tab w:val="left" w:pos="1080"/>
        </w:tabs>
        <w:ind w:left="1080" w:hanging="1080"/>
        <w:rPr>
          <w:b/>
        </w:rPr>
      </w:pPr>
      <w:r>
        <w:rPr>
          <w:b/>
        </w:rPr>
        <w:lastRenderedPageBreak/>
        <w:t>3.4</w:t>
      </w:r>
      <w:r w:rsidR="004E4250">
        <w:rPr>
          <w:b/>
        </w:rPr>
        <w:t xml:space="preserve"> </w:t>
      </w:r>
      <w:r w:rsidR="004E4250">
        <w:rPr>
          <w:b/>
        </w:rPr>
        <w:tab/>
        <w:t>REPORTING</w:t>
      </w:r>
    </w:p>
    <w:p w:rsidR="004E4250" w:rsidRDefault="00D77504" w:rsidP="00E464FF">
      <w:pPr>
        <w:tabs>
          <w:tab w:val="left" w:pos="1080"/>
        </w:tabs>
        <w:ind w:left="1080" w:hanging="1080"/>
        <w:jc w:val="both"/>
      </w:pPr>
      <w:r>
        <w:rPr>
          <w:b/>
        </w:rPr>
        <w:tab/>
      </w:r>
      <w:r w:rsidR="004E4250">
        <w:t>Five working days prior to the transfer of a radioactive waste exit sign, the Contractor shall inform the Engineer and the MAA’s Division of Environmental Compliance (DEC) of the impending transfer and provide requested information to the Engineer and DEC about the transfer.  This information shall include the device manufacturer’s (or distributor’s) name, model number and serial number; the name, address, and license number of the person receiving the device; and the expected date of transfer.  The Engineer and /or MAA reserve the right to halt the transfer should the Contractor not abide by regulations or MAA requirements as described herein.  MAA will be responsible for notifying MDE of the transfer within 30 days of transfer.</w:t>
      </w:r>
    </w:p>
    <w:p w:rsidR="004E4250" w:rsidRDefault="004E4250" w:rsidP="00E464FF">
      <w:pPr>
        <w:tabs>
          <w:tab w:val="left" w:pos="1080"/>
        </w:tabs>
        <w:ind w:left="1080" w:hanging="1080"/>
        <w:jc w:val="both"/>
        <w:rPr>
          <w:b/>
        </w:rPr>
      </w:pPr>
    </w:p>
    <w:p w:rsidR="004E4250" w:rsidRDefault="004E4250" w:rsidP="00E464FF">
      <w:pPr>
        <w:ind w:left="1080"/>
        <w:jc w:val="both"/>
      </w:pPr>
      <w:r>
        <w:t>Waste haulers may use manifests to document waste transfer.  In these cases, the Contractor shall provide the hauler with MAA’s Environmental Protection Agency Identification Number (EPA ID Number) for inclusion on all manifests.</w:t>
      </w:r>
    </w:p>
    <w:p w:rsidR="004E4250" w:rsidRDefault="004E4250" w:rsidP="00E464FF">
      <w:pPr>
        <w:ind w:left="1080"/>
        <w:jc w:val="both"/>
      </w:pPr>
      <w:r>
        <w:t xml:space="preserve">  </w:t>
      </w:r>
    </w:p>
    <w:p w:rsidR="004E4250" w:rsidRDefault="004E4250" w:rsidP="00E464FF">
      <w:pPr>
        <w:numPr>
          <w:ilvl w:val="0"/>
          <w:numId w:val="5"/>
        </w:numPr>
        <w:ind w:left="1800"/>
        <w:jc w:val="both"/>
      </w:pPr>
      <w:r>
        <w:t xml:space="preserve">For wastes generated from BWI Marshall the Contractor must use the following identification number: </w:t>
      </w:r>
      <w:r w:rsidRPr="00731716">
        <w:rPr>
          <w:u w:val="single"/>
        </w:rPr>
        <w:t>MDD041354002</w:t>
      </w:r>
      <w:r>
        <w:t xml:space="preserve">.  </w:t>
      </w:r>
    </w:p>
    <w:p w:rsidR="004E4250" w:rsidRDefault="004E4250" w:rsidP="00E464FF">
      <w:pPr>
        <w:numPr>
          <w:ilvl w:val="0"/>
          <w:numId w:val="5"/>
        </w:numPr>
        <w:ind w:left="1800"/>
        <w:jc w:val="both"/>
      </w:pPr>
      <w:r>
        <w:t xml:space="preserve">For wastes generated from MTN the Contractor must use the following identification number: </w:t>
      </w:r>
      <w:r w:rsidRPr="00731716">
        <w:rPr>
          <w:u w:val="single"/>
        </w:rPr>
        <w:t>MDD980918973</w:t>
      </w:r>
      <w:r>
        <w:t xml:space="preserve">.  </w:t>
      </w:r>
    </w:p>
    <w:p w:rsidR="004E4250" w:rsidRDefault="004E4250" w:rsidP="00E464FF">
      <w:pPr>
        <w:ind w:left="1080"/>
        <w:jc w:val="both"/>
      </w:pPr>
    </w:p>
    <w:p w:rsidR="004E4250" w:rsidRDefault="004E4250" w:rsidP="00E464FF">
      <w:pPr>
        <w:ind w:left="1080"/>
        <w:jc w:val="both"/>
      </w:pPr>
      <w:r>
        <w:t>When manifests are used, the Contractor must provide copies of the manifest to the Engineer upon receipt and copies of the signed returned manifest from the transport, storage, and disposal facility (TSDF) or other facility immediately upon receipt.</w:t>
      </w:r>
    </w:p>
    <w:p w:rsidR="004E4250" w:rsidRDefault="004E4250">
      <w:pPr>
        <w:tabs>
          <w:tab w:val="left" w:pos="1080"/>
        </w:tabs>
        <w:ind w:left="1080" w:hanging="1080"/>
        <w:jc w:val="both"/>
        <w:rPr>
          <w:b/>
        </w:rPr>
      </w:pPr>
    </w:p>
    <w:p w:rsidR="004E4250" w:rsidRDefault="004E4250">
      <w:pPr>
        <w:pStyle w:val="Body"/>
        <w:jc w:val="both"/>
        <w:rPr>
          <w:rFonts w:ascii="Times New Roman" w:hAnsi="Times New Roman"/>
          <w:color w:val="auto"/>
          <w:szCs w:val="24"/>
        </w:rPr>
      </w:pPr>
      <w:r>
        <w:rPr>
          <w:rFonts w:ascii="Times New Roman" w:hAnsi="Times New Roman"/>
          <w:color w:val="auto"/>
          <w:szCs w:val="24"/>
        </w:rPr>
        <w:t xml:space="preserve">        </w:t>
      </w:r>
    </w:p>
    <w:p w:rsidR="00D77504" w:rsidRDefault="00D77504" w:rsidP="00C80D2C">
      <w:pPr>
        <w:tabs>
          <w:tab w:val="left" w:pos="1080"/>
        </w:tabs>
        <w:ind w:left="1080" w:hanging="1080"/>
        <w:rPr>
          <w:b/>
        </w:rPr>
      </w:pPr>
      <w:r>
        <w:rPr>
          <w:b/>
        </w:rPr>
        <w:t>3.5</w:t>
      </w:r>
      <w:r w:rsidR="004E4250">
        <w:rPr>
          <w:b/>
        </w:rPr>
        <w:tab/>
        <w:t>INSPECTION OF JOB SITES</w:t>
      </w:r>
      <w:bookmarkStart w:id="1" w:name="OLE_LINK1"/>
      <w:bookmarkStart w:id="2" w:name="OLE_LINK2"/>
    </w:p>
    <w:p w:rsidR="004E4250" w:rsidRDefault="00D77504" w:rsidP="00E464FF">
      <w:pPr>
        <w:tabs>
          <w:tab w:val="left" w:pos="1080"/>
        </w:tabs>
        <w:ind w:left="1080" w:hanging="1080"/>
        <w:jc w:val="both"/>
      </w:pPr>
      <w:r>
        <w:rPr>
          <w:b/>
        </w:rPr>
        <w:tab/>
      </w:r>
      <w:r w:rsidR="004E4250">
        <w:t>Federal, State and/or</w:t>
      </w:r>
      <w:r w:rsidR="004E4250">
        <w:rPr>
          <w:b/>
        </w:rPr>
        <w:t xml:space="preserve"> </w:t>
      </w:r>
      <w:r w:rsidR="004E4250">
        <w:t xml:space="preserve">MAA representatives </w:t>
      </w:r>
      <w:bookmarkEnd w:id="1"/>
      <w:bookmarkEnd w:id="2"/>
      <w:r w:rsidR="004E4250">
        <w:t xml:space="preserve">reserve the right to inspect contractors’ job site(s) to observe work practices associated with the requirements identified herein. </w:t>
      </w:r>
    </w:p>
    <w:p w:rsidR="004E4250" w:rsidRDefault="004E4250" w:rsidP="00C80D2C"/>
    <w:p w:rsidR="004E4250" w:rsidRDefault="00D77504" w:rsidP="00D77504">
      <w:pPr>
        <w:rPr>
          <w:b/>
        </w:rPr>
      </w:pPr>
      <w:r>
        <w:rPr>
          <w:b/>
        </w:rPr>
        <w:t xml:space="preserve">PART 4 - </w:t>
      </w:r>
      <w:r w:rsidR="004E4250">
        <w:rPr>
          <w:b/>
        </w:rPr>
        <w:t>METHOD OF MEASUREMENT</w:t>
      </w:r>
    </w:p>
    <w:p w:rsidR="004E4250" w:rsidRDefault="004E4250">
      <w:pPr>
        <w:jc w:val="both"/>
      </w:pPr>
    </w:p>
    <w:p w:rsidR="004E4250" w:rsidRDefault="00D77504" w:rsidP="00E464FF">
      <w:pPr>
        <w:tabs>
          <w:tab w:val="left" w:pos="1080"/>
        </w:tabs>
        <w:autoSpaceDE w:val="0"/>
        <w:autoSpaceDN w:val="0"/>
        <w:adjustRightInd w:val="0"/>
        <w:ind w:left="1080" w:hanging="1080"/>
        <w:jc w:val="both"/>
      </w:pPr>
      <w:r>
        <w:rPr>
          <w:b/>
        </w:rPr>
        <w:t>4.1</w:t>
      </w:r>
      <w:r w:rsidR="004E4250">
        <w:rPr>
          <w:b/>
        </w:rPr>
        <w:t xml:space="preserve"> </w:t>
      </w:r>
      <w:r w:rsidR="004E4250">
        <w:rPr>
          <w:b/>
        </w:rPr>
        <w:tab/>
      </w:r>
      <w:r w:rsidR="004E4250">
        <w:t>No separate measurement will be made for work performed under this Specification Section.</w:t>
      </w:r>
    </w:p>
    <w:p w:rsidR="004E4250" w:rsidRDefault="004E4250" w:rsidP="00C80D2C">
      <w:pPr>
        <w:tabs>
          <w:tab w:val="left" w:pos="1080"/>
        </w:tabs>
        <w:autoSpaceDE w:val="0"/>
        <w:autoSpaceDN w:val="0"/>
        <w:adjustRightInd w:val="0"/>
        <w:ind w:left="1080" w:hanging="1080"/>
        <w:rPr>
          <w:b/>
        </w:rPr>
      </w:pPr>
    </w:p>
    <w:p w:rsidR="004E4250" w:rsidRDefault="00D77504" w:rsidP="00CD72D8">
      <w:pPr>
        <w:tabs>
          <w:tab w:val="left" w:pos="1080"/>
        </w:tabs>
        <w:autoSpaceDE w:val="0"/>
        <w:autoSpaceDN w:val="0"/>
        <w:adjustRightInd w:val="0"/>
        <w:ind w:left="1080" w:hanging="1080"/>
        <w:rPr>
          <w:b/>
        </w:rPr>
      </w:pPr>
      <w:r>
        <w:rPr>
          <w:b/>
        </w:rPr>
        <w:t xml:space="preserve">PART 5 - </w:t>
      </w:r>
      <w:r w:rsidR="004E4250">
        <w:rPr>
          <w:b/>
        </w:rPr>
        <w:t>BASIS OF PAYMENT</w:t>
      </w:r>
    </w:p>
    <w:p w:rsidR="004E4250" w:rsidRDefault="004E4250">
      <w:pPr>
        <w:autoSpaceDE w:val="0"/>
        <w:autoSpaceDN w:val="0"/>
        <w:adjustRightInd w:val="0"/>
        <w:jc w:val="both"/>
        <w:rPr>
          <w:b/>
        </w:rPr>
      </w:pPr>
    </w:p>
    <w:p w:rsidR="004E4250" w:rsidRDefault="00CD72D8" w:rsidP="00E464FF">
      <w:pPr>
        <w:tabs>
          <w:tab w:val="left" w:pos="1080"/>
        </w:tabs>
        <w:autoSpaceDE w:val="0"/>
        <w:autoSpaceDN w:val="0"/>
        <w:adjustRightInd w:val="0"/>
        <w:ind w:left="1080" w:hanging="1080"/>
        <w:jc w:val="both"/>
      </w:pPr>
      <w:r>
        <w:rPr>
          <w:b/>
        </w:rPr>
        <w:t>5.1</w:t>
      </w:r>
      <w:r w:rsidR="004E4250">
        <w:rPr>
          <w:b/>
        </w:rPr>
        <w:tab/>
      </w:r>
      <w:r w:rsidR="004E4250">
        <w:t xml:space="preserve">No separate payment will be made for work performed under this Specification Section. The cost of the work, complete in place, described in this Specification Section shall be included in the respective bid price under </w:t>
      </w:r>
      <w:r w:rsidR="00E464FF">
        <w:t>Section</w:t>
      </w:r>
      <w:r w:rsidR="004E4250">
        <w:t xml:space="preserve"> </w:t>
      </w:r>
      <w:r w:rsidR="004E4250">
        <w:rPr>
          <w:b/>
        </w:rPr>
        <w:t>XX-XXX</w:t>
      </w:r>
      <w:r w:rsidR="004E4250">
        <w:t xml:space="preserve"> "Demolition". Costs include all labor, material, services, and equipment necessary to complete the work in every respect.</w:t>
      </w:r>
    </w:p>
    <w:p w:rsidR="004E4250" w:rsidRDefault="004E4250">
      <w:pPr>
        <w:autoSpaceDE w:val="0"/>
        <w:autoSpaceDN w:val="0"/>
        <w:adjustRightInd w:val="0"/>
        <w:jc w:val="both"/>
      </w:pPr>
    </w:p>
    <w:p w:rsidR="004E4250" w:rsidRDefault="004E4250" w:rsidP="00E464FF">
      <w:pPr>
        <w:autoSpaceDE w:val="0"/>
        <w:autoSpaceDN w:val="0"/>
        <w:adjustRightInd w:val="0"/>
        <w:rPr>
          <w:b/>
        </w:rPr>
      </w:pPr>
      <w:r w:rsidRPr="009E095D">
        <w:rPr>
          <w:b/>
        </w:rPr>
        <w:t xml:space="preserve">END OF </w:t>
      </w:r>
      <w:r w:rsidR="00E464FF">
        <w:rPr>
          <w:b/>
        </w:rPr>
        <w:t>SECTION</w:t>
      </w:r>
      <w:r w:rsidRPr="009E095D">
        <w:rPr>
          <w:b/>
        </w:rPr>
        <w:t xml:space="preserve"> </w:t>
      </w:r>
      <w:r w:rsidR="00CD72D8">
        <w:rPr>
          <w:b/>
        </w:rPr>
        <w:t>010009X</w:t>
      </w:r>
    </w:p>
    <w:p w:rsidR="00E464FF" w:rsidRDefault="00E464FF" w:rsidP="00E464FF">
      <w:pPr>
        <w:autoSpaceDE w:val="0"/>
        <w:autoSpaceDN w:val="0"/>
        <w:adjustRightInd w:val="0"/>
        <w:rPr>
          <w:b/>
        </w:rPr>
        <w:sectPr w:rsidR="00E464FF" w:rsidSect="00F02229">
          <w:footerReference w:type="default" r:id="rId8"/>
          <w:pgSz w:w="12240" w:h="15840"/>
          <w:pgMar w:top="1440" w:right="1440" w:bottom="1440" w:left="1440" w:header="720" w:footer="720" w:gutter="0"/>
          <w:cols w:space="720"/>
          <w:docGrid w:linePitch="360"/>
        </w:sect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sz w:val="32"/>
        </w:rPr>
      </w:pPr>
    </w:p>
    <w:p w:rsidR="00E464FF" w:rsidRPr="00D51D48" w:rsidRDefault="00E464FF" w:rsidP="00E464FF">
      <w:pPr>
        <w:jc w:val="center"/>
        <w:rPr>
          <w:b/>
          <w:sz w:val="32"/>
        </w:rPr>
      </w:pPr>
      <w:r w:rsidRPr="00D51D48">
        <w:rPr>
          <w:b/>
          <w:sz w:val="32"/>
        </w:rPr>
        <w:t>THIS PAGE HAS BEEN INTENTIONALLY LEFT BLANK</w:t>
      </w:r>
    </w:p>
    <w:p w:rsidR="00E464FF" w:rsidRDefault="00E464FF" w:rsidP="00E464FF">
      <w:pPr>
        <w:autoSpaceDE w:val="0"/>
        <w:autoSpaceDN w:val="0"/>
        <w:adjustRightInd w:val="0"/>
        <w:rPr>
          <w:b/>
        </w:rPr>
      </w:pPr>
    </w:p>
    <w:p w:rsidR="004E4250" w:rsidRDefault="004E4250">
      <w:pPr>
        <w:jc w:val="both"/>
      </w:pPr>
    </w:p>
    <w:sectPr w:rsidR="004E4250" w:rsidSect="00F022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250" w:rsidRDefault="004E4250" w:rsidP="007F66B5">
      <w:r>
        <w:separator/>
      </w:r>
    </w:p>
  </w:endnote>
  <w:endnote w:type="continuationSeparator" w:id="0">
    <w:p w:rsidR="004E4250" w:rsidRDefault="004E4250" w:rsidP="007F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Look w:val="0000" w:firstRow="0" w:lastRow="0" w:firstColumn="0" w:lastColumn="0" w:noHBand="0" w:noVBand="0"/>
    </w:tblPr>
    <w:tblGrid>
      <w:gridCol w:w="3420"/>
      <w:gridCol w:w="2880"/>
      <w:gridCol w:w="3060"/>
    </w:tblGrid>
    <w:tr w:rsidR="004E4250" w:rsidTr="00430446">
      <w:trPr>
        <w:trHeight w:hRule="exact" w:val="216"/>
      </w:trPr>
      <w:tc>
        <w:tcPr>
          <w:tcW w:w="3420" w:type="dxa"/>
          <w:vAlign w:val="bottom"/>
        </w:tcPr>
        <w:p w:rsidR="004E4250" w:rsidRPr="00091AE7" w:rsidRDefault="004E4250" w:rsidP="00711233">
          <w:pPr>
            <w:pStyle w:val="Footer"/>
            <w:ind w:left="-108" w:right="72"/>
            <w:jc w:val="both"/>
            <w:rPr>
              <w:sz w:val="16"/>
              <w:szCs w:val="16"/>
            </w:rPr>
          </w:pPr>
          <w:r>
            <w:rPr>
              <w:sz w:val="16"/>
              <w:szCs w:val="16"/>
            </w:rPr>
            <w:t>MAA-CO-XX-XXX</w:t>
          </w:r>
        </w:p>
      </w:tc>
      <w:tc>
        <w:tcPr>
          <w:tcW w:w="2880" w:type="dxa"/>
          <w:vAlign w:val="center"/>
        </w:tcPr>
        <w:p w:rsidR="004E4250" w:rsidRPr="00091AE7" w:rsidRDefault="004E4250" w:rsidP="00430446">
          <w:pPr>
            <w:pStyle w:val="Footer"/>
            <w:rPr>
              <w:sz w:val="16"/>
              <w:szCs w:val="16"/>
            </w:rPr>
          </w:pPr>
        </w:p>
      </w:tc>
      <w:tc>
        <w:tcPr>
          <w:tcW w:w="3060" w:type="dxa"/>
          <w:vAlign w:val="center"/>
        </w:tcPr>
        <w:p w:rsidR="004E4250" w:rsidRPr="00091AE7" w:rsidRDefault="004E4250" w:rsidP="00430446">
          <w:pPr>
            <w:pStyle w:val="Footer"/>
            <w:jc w:val="right"/>
            <w:rPr>
              <w:sz w:val="16"/>
              <w:szCs w:val="16"/>
            </w:rPr>
          </w:pPr>
        </w:p>
      </w:tc>
    </w:tr>
    <w:tr w:rsidR="004E4250" w:rsidTr="00430446">
      <w:trPr>
        <w:cantSplit/>
        <w:trHeight w:hRule="exact" w:val="216"/>
      </w:trPr>
      <w:tc>
        <w:tcPr>
          <w:tcW w:w="3420" w:type="dxa"/>
          <w:vAlign w:val="bottom"/>
        </w:tcPr>
        <w:p w:rsidR="004E4250" w:rsidRPr="00091AE7" w:rsidRDefault="004E4250" w:rsidP="00430446">
          <w:pPr>
            <w:pStyle w:val="Footer"/>
            <w:ind w:left="-108"/>
            <w:rPr>
              <w:sz w:val="16"/>
              <w:szCs w:val="16"/>
            </w:rPr>
          </w:pPr>
          <w:r>
            <w:rPr>
              <w:sz w:val="16"/>
              <w:szCs w:val="16"/>
            </w:rPr>
            <w:t>Project Name</w:t>
          </w:r>
        </w:p>
      </w:tc>
      <w:tc>
        <w:tcPr>
          <w:tcW w:w="2880" w:type="dxa"/>
          <w:vMerge w:val="restart"/>
          <w:vAlign w:val="bottom"/>
        </w:tcPr>
        <w:p w:rsidR="004E4250" w:rsidRPr="00412CB7" w:rsidRDefault="004E4250" w:rsidP="003705D3">
          <w:pPr>
            <w:pStyle w:val="Footer"/>
            <w:tabs>
              <w:tab w:val="center" w:pos="1242"/>
            </w:tabs>
            <w:rPr>
              <w:sz w:val="20"/>
            </w:rPr>
          </w:pPr>
          <w:r w:rsidRPr="00091AE7">
            <w:rPr>
              <w:sz w:val="16"/>
              <w:szCs w:val="16"/>
            </w:rPr>
            <w:tab/>
          </w:r>
          <w:r w:rsidR="003705D3">
            <w:rPr>
              <w:sz w:val="16"/>
              <w:szCs w:val="16"/>
            </w:rPr>
            <w:t>010009X</w:t>
          </w:r>
          <w:r w:rsidRPr="00412CB7">
            <w:rPr>
              <w:sz w:val="20"/>
            </w:rPr>
            <w:t>-</w:t>
          </w:r>
          <w:r w:rsidR="00102788" w:rsidRPr="00412CB7">
            <w:rPr>
              <w:rStyle w:val="PageNumber"/>
              <w:sz w:val="20"/>
            </w:rPr>
            <w:fldChar w:fldCharType="begin"/>
          </w:r>
          <w:r w:rsidRPr="00412CB7">
            <w:rPr>
              <w:rStyle w:val="PageNumber"/>
              <w:sz w:val="20"/>
            </w:rPr>
            <w:instrText xml:space="preserve"> PAGE </w:instrText>
          </w:r>
          <w:r w:rsidR="00102788" w:rsidRPr="00412CB7">
            <w:rPr>
              <w:rStyle w:val="PageNumber"/>
              <w:sz w:val="20"/>
            </w:rPr>
            <w:fldChar w:fldCharType="separate"/>
          </w:r>
          <w:r w:rsidR="00DF6594">
            <w:rPr>
              <w:rStyle w:val="PageNumber"/>
              <w:noProof/>
              <w:sz w:val="20"/>
            </w:rPr>
            <w:t>3</w:t>
          </w:r>
          <w:r w:rsidR="00102788" w:rsidRPr="00412CB7">
            <w:rPr>
              <w:rStyle w:val="PageNumber"/>
              <w:sz w:val="20"/>
            </w:rPr>
            <w:fldChar w:fldCharType="end"/>
          </w:r>
        </w:p>
      </w:tc>
      <w:tc>
        <w:tcPr>
          <w:tcW w:w="3060" w:type="dxa"/>
          <w:vAlign w:val="bottom"/>
        </w:tcPr>
        <w:p w:rsidR="004E4250" w:rsidRPr="00091AE7" w:rsidRDefault="004E4250" w:rsidP="00430446">
          <w:pPr>
            <w:pStyle w:val="Footer"/>
            <w:tabs>
              <w:tab w:val="right" w:pos="3708"/>
            </w:tabs>
            <w:ind w:right="-108"/>
            <w:jc w:val="right"/>
            <w:rPr>
              <w:sz w:val="16"/>
              <w:szCs w:val="16"/>
            </w:rPr>
          </w:pPr>
          <w:r w:rsidRPr="00091AE7">
            <w:rPr>
              <w:sz w:val="16"/>
              <w:szCs w:val="16"/>
            </w:rPr>
            <w:t>Technical Specifications</w:t>
          </w:r>
          <w:r>
            <w:rPr>
              <w:sz w:val="16"/>
              <w:szCs w:val="16"/>
            </w:rPr>
            <w:t xml:space="preserve">   </w:t>
          </w:r>
        </w:p>
      </w:tc>
    </w:tr>
    <w:tr w:rsidR="004E4250" w:rsidTr="00430446">
      <w:trPr>
        <w:cantSplit/>
        <w:trHeight w:hRule="exact" w:val="216"/>
      </w:trPr>
      <w:tc>
        <w:tcPr>
          <w:tcW w:w="3420" w:type="dxa"/>
          <w:vAlign w:val="bottom"/>
        </w:tcPr>
        <w:p w:rsidR="004E4250" w:rsidRPr="00091AE7" w:rsidRDefault="004E4250" w:rsidP="00430446">
          <w:pPr>
            <w:pStyle w:val="Footer"/>
            <w:tabs>
              <w:tab w:val="right" w:pos="9252"/>
            </w:tabs>
            <w:ind w:left="-108"/>
            <w:rPr>
              <w:sz w:val="16"/>
              <w:szCs w:val="16"/>
            </w:rPr>
          </w:pPr>
          <w:r>
            <w:rPr>
              <w:sz w:val="16"/>
              <w:szCs w:val="16"/>
            </w:rPr>
            <w:t>BWI Marshall Airport</w:t>
          </w:r>
          <w:r w:rsidR="009A2EE9">
            <w:rPr>
              <w:sz w:val="16"/>
              <w:szCs w:val="16"/>
            </w:rPr>
            <w:t>/Martin State Airport</w:t>
          </w:r>
        </w:p>
      </w:tc>
      <w:tc>
        <w:tcPr>
          <w:tcW w:w="2880" w:type="dxa"/>
          <w:vMerge/>
          <w:vAlign w:val="bottom"/>
        </w:tcPr>
        <w:p w:rsidR="004E4250" w:rsidRPr="00091AE7" w:rsidRDefault="004E4250" w:rsidP="00430446">
          <w:pPr>
            <w:pStyle w:val="Footer"/>
            <w:tabs>
              <w:tab w:val="center" w:pos="1512"/>
            </w:tabs>
            <w:jc w:val="center"/>
            <w:rPr>
              <w:sz w:val="16"/>
              <w:szCs w:val="16"/>
            </w:rPr>
          </w:pPr>
        </w:p>
      </w:tc>
      <w:tc>
        <w:tcPr>
          <w:tcW w:w="3060" w:type="dxa"/>
          <w:vAlign w:val="bottom"/>
        </w:tcPr>
        <w:p w:rsidR="004E4250" w:rsidRDefault="004E4250">
          <w:pPr>
            <w:pStyle w:val="Footer"/>
            <w:ind w:right="-108"/>
            <w:jc w:val="right"/>
            <w:rPr>
              <w:sz w:val="16"/>
              <w:szCs w:val="16"/>
            </w:rPr>
          </w:pPr>
          <w:r>
            <w:rPr>
              <w:sz w:val="16"/>
              <w:szCs w:val="16"/>
            </w:rPr>
            <w:t>Management of Radioactive Wastes</w:t>
          </w:r>
        </w:p>
      </w:tc>
    </w:tr>
  </w:tbl>
  <w:p w:rsidR="004E4250" w:rsidRDefault="004E42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4FF" w:rsidRDefault="00E464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250" w:rsidRDefault="004E4250" w:rsidP="007F66B5">
      <w:r>
        <w:separator/>
      </w:r>
    </w:p>
  </w:footnote>
  <w:footnote w:type="continuationSeparator" w:id="0">
    <w:p w:rsidR="004E4250" w:rsidRDefault="004E4250" w:rsidP="007F6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nsid w:val="21020AFD"/>
    <w:multiLevelType w:val="hybridMultilevel"/>
    <w:tmpl w:val="7FEE37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EF66EB4"/>
    <w:multiLevelType w:val="multilevel"/>
    <w:tmpl w:val="7034F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BA009A"/>
    <w:multiLevelType w:val="hybridMultilevel"/>
    <w:tmpl w:val="D774F864"/>
    <w:lvl w:ilvl="0" w:tplc="2C1C7E1C">
      <w:numFmt w:val="none"/>
      <w:pStyle w:val="1stBullet"/>
      <w:lvlText w:val=""/>
      <w:lvlJc w:val="left"/>
      <w:pPr>
        <w:tabs>
          <w:tab w:val="num" w:pos="1512"/>
        </w:tabs>
        <w:ind w:left="1512" w:hanging="360"/>
      </w:pPr>
      <w:rPr>
        <w:rFonts w:ascii="Symbol" w:hAnsi="Symbol" w:cs="Times New Roman" w:hint="default"/>
        <w:b w:val="0"/>
        <w:i w:val="0"/>
        <w:color w:val="auto"/>
        <w:sz w:val="24"/>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3">
    <w:nsid w:val="67B431DF"/>
    <w:multiLevelType w:val="multilevel"/>
    <w:tmpl w:val="D68AE9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DA40E6B"/>
    <w:multiLevelType w:val="hybridMultilevel"/>
    <w:tmpl w:val="BF06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772358"/>
    <w:multiLevelType w:val="hybridMultilevel"/>
    <w:tmpl w:val="53289C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526"/>
    <w:rsid w:val="00091AE7"/>
    <w:rsid w:val="000C4526"/>
    <w:rsid w:val="000D2131"/>
    <w:rsid w:val="00102788"/>
    <w:rsid w:val="0017317A"/>
    <w:rsid w:val="001C7547"/>
    <w:rsid w:val="002023C9"/>
    <w:rsid w:val="0020511C"/>
    <w:rsid w:val="00254156"/>
    <w:rsid w:val="00281AAB"/>
    <w:rsid w:val="002B698A"/>
    <w:rsid w:val="002C26F6"/>
    <w:rsid w:val="00323C07"/>
    <w:rsid w:val="003705D3"/>
    <w:rsid w:val="0037063B"/>
    <w:rsid w:val="003856FB"/>
    <w:rsid w:val="003C4A7A"/>
    <w:rsid w:val="00412CB7"/>
    <w:rsid w:val="00430446"/>
    <w:rsid w:val="0047077A"/>
    <w:rsid w:val="004C7EB9"/>
    <w:rsid w:val="004D2799"/>
    <w:rsid w:val="004E4250"/>
    <w:rsid w:val="00544F64"/>
    <w:rsid w:val="005E1A70"/>
    <w:rsid w:val="006028AF"/>
    <w:rsid w:val="00690807"/>
    <w:rsid w:val="007104F0"/>
    <w:rsid w:val="00711233"/>
    <w:rsid w:val="007116E7"/>
    <w:rsid w:val="00731716"/>
    <w:rsid w:val="00734F71"/>
    <w:rsid w:val="0078391E"/>
    <w:rsid w:val="007E1D19"/>
    <w:rsid w:val="007F66B5"/>
    <w:rsid w:val="0083708D"/>
    <w:rsid w:val="008D47A4"/>
    <w:rsid w:val="00916D2B"/>
    <w:rsid w:val="00957D7B"/>
    <w:rsid w:val="00966696"/>
    <w:rsid w:val="009A2EE9"/>
    <w:rsid w:val="009E095D"/>
    <w:rsid w:val="00A65073"/>
    <w:rsid w:val="00AB2EBF"/>
    <w:rsid w:val="00B56E29"/>
    <w:rsid w:val="00B879FD"/>
    <w:rsid w:val="00BA4D30"/>
    <w:rsid w:val="00C2082E"/>
    <w:rsid w:val="00C555A6"/>
    <w:rsid w:val="00C65DA9"/>
    <w:rsid w:val="00C80D2C"/>
    <w:rsid w:val="00CB3ECD"/>
    <w:rsid w:val="00CD72D8"/>
    <w:rsid w:val="00D10CB3"/>
    <w:rsid w:val="00D259A6"/>
    <w:rsid w:val="00D35923"/>
    <w:rsid w:val="00D77504"/>
    <w:rsid w:val="00D84198"/>
    <w:rsid w:val="00DD5D3C"/>
    <w:rsid w:val="00DE7010"/>
    <w:rsid w:val="00DF6594"/>
    <w:rsid w:val="00E464FF"/>
    <w:rsid w:val="00E50491"/>
    <w:rsid w:val="00E57B5A"/>
    <w:rsid w:val="00F02229"/>
    <w:rsid w:val="00F12A33"/>
    <w:rsid w:val="00F26D20"/>
    <w:rsid w:val="00F30C91"/>
    <w:rsid w:val="00F64063"/>
    <w:rsid w:val="00F805A9"/>
    <w:rsid w:val="00FB2E85"/>
    <w:rsid w:val="00FD1D6E"/>
    <w:rsid w:val="00FD2D5D"/>
    <w:rsid w:val="00FE0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5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uiPriority w:val="99"/>
    <w:rsid w:val="000C4526"/>
    <w:rPr>
      <w:rFonts w:ascii="Helvetica" w:hAnsi="Helvetica"/>
      <w:color w:val="000000"/>
      <w:sz w:val="24"/>
      <w:szCs w:val="20"/>
    </w:rPr>
  </w:style>
  <w:style w:type="paragraph" w:customStyle="1" w:styleId="1stBullet">
    <w:name w:val="1st Bullet"/>
    <w:basedOn w:val="Normal"/>
    <w:uiPriority w:val="99"/>
    <w:rsid w:val="000C4526"/>
    <w:pPr>
      <w:numPr>
        <w:numId w:val="2"/>
      </w:numPr>
    </w:pPr>
  </w:style>
  <w:style w:type="character" w:styleId="Strong">
    <w:name w:val="Strong"/>
    <w:basedOn w:val="DefaultParagraphFont"/>
    <w:uiPriority w:val="99"/>
    <w:qFormat/>
    <w:rsid w:val="00C555A6"/>
    <w:rPr>
      <w:rFonts w:cs="Times New Roman"/>
      <w:b/>
      <w:bCs/>
    </w:rPr>
  </w:style>
  <w:style w:type="paragraph" w:styleId="BalloonText">
    <w:name w:val="Balloon Text"/>
    <w:basedOn w:val="Normal"/>
    <w:link w:val="BalloonTextChar"/>
    <w:uiPriority w:val="99"/>
    <w:semiHidden/>
    <w:rsid w:val="00C555A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55A6"/>
    <w:rPr>
      <w:rFonts w:ascii="Tahoma" w:hAnsi="Tahoma" w:cs="Tahoma"/>
      <w:sz w:val="16"/>
      <w:szCs w:val="16"/>
    </w:rPr>
  </w:style>
  <w:style w:type="paragraph" w:styleId="Header">
    <w:name w:val="header"/>
    <w:basedOn w:val="Normal"/>
    <w:link w:val="HeaderChar"/>
    <w:uiPriority w:val="99"/>
    <w:semiHidden/>
    <w:rsid w:val="007F66B5"/>
    <w:pPr>
      <w:tabs>
        <w:tab w:val="center" w:pos="4680"/>
        <w:tab w:val="right" w:pos="9360"/>
      </w:tabs>
    </w:pPr>
  </w:style>
  <w:style w:type="character" w:customStyle="1" w:styleId="HeaderChar">
    <w:name w:val="Header Char"/>
    <w:basedOn w:val="DefaultParagraphFont"/>
    <w:link w:val="Header"/>
    <w:uiPriority w:val="99"/>
    <w:semiHidden/>
    <w:locked/>
    <w:rsid w:val="007F66B5"/>
    <w:rPr>
      <w:rFonts w:cs="Times New Roman"/>
      <w:sz w:val="24"/>
      <w:szCs w:val="24"/>
    </w:rPr>
  </w:style>
  <w:style w:type="paragraph" w:styleId="Footer">
    <w:name w:val="footer"/>
    <w:basedOn w:val="Normal"/>
    <w:link w:val="FooterChar"/>
    <w:uiPriority w:val="99"/>
    <w:rsid w:val="007F66B5"/>
    <w:pPr>
      <w:tabs>
        <w:tab w:val="center" w:pos="4680"/>
        <w:tab w:val="right" w:pos="9360"/>
      </w:tabs>
    </w:pPr>
  </w:style>
  <w:style w:type="character" w:customStyle="1" w:styleId="FooterChar">
    <w:name w:val="Footer Char"/>
    <w:basedOn w:val="DefaultParagraphFont"/>
    <w:link w:val="Footer"/>
    <w:uiPriority w:val="99"/>
    <w:semiHidden/>
    <w:locked/>
    <w:rsid w:val="007F66B5"/>
    <w:rPr>
      <w:rFonts w:cs="Times New Roman"/>
      <w:sz w:val="24"/>
      <w:szCs w:val="24"/>
    </w:rPr>
  </w:style>
  <w:style w:type="character" w:styleId="PageNumber">
    <w:name w:val="page number"/>
    <w:basedOn w:val="DefaultParagraphFont"/>
    <w:uiPriority w:val="99"/>
    <w:rsid w:val="007F66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6-X, Hazardous Wastes:</vt:lpstr>
    </vt:vector>
  </TitlesOfParts>
  <Company/>
  <LinksUpToDate>false</LinksUpToDate>
  <CharactersWithSpaces>6984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6-X, Hazardous Wastes:</dc:title>
  <dc:creator>alogmanni</dc:creator>
  <cp:lastModifiedBy>eharris1</cp:lastModifiedBy>
  <cp:revision>10</cp:revision>
  <cp:lastPrinted>2016-02-11T17:16:00Z</cp:lastPrinted>
  <dcterms:created xsi:type="dcterms:W3CDTF">2011-01-25T21:22:00Z</dcterms:created>
  <dcterms:modified xsi:type="dcterms:W3CDTF">2016-02-11T17:16:00Z</dcterms:modified>
</cp:coreProperties>
</file>